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F91" w:rsidRDefault="00844F91" w:rsidP="00844F91">
      <w:pPr>
        <w:spacing w:after="0" w:line="240" w:lineRule="auto"/>
        <w:ind w:left="-709"/>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2024 жылдың 1-жартыжылдығы ішіндегі «Теплосервис-Ақсу» КМК</w:t>
      </w:r>
    </w:p>
    <w:p w:rsidR="00844F91" w:rsidRDefault="00844F91" w:rsidP="00844F91">
      <w:pPr>
        <w:spacing w:after="0" w:line="240" w:lineRule="auto"/>
        <w:ind w:left="-709"/>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жылу энергиясын беру, тарату және жабдықтау бойынша</w:t>
      </w:r>
    </w:p>
    <w:p w:rsidR="00844F91" w:rsidRDefault="00844F91" w:rsidP="00844F91">
      <w:pPr>
        <w:spacing w:after="0" w:line="240" w:lineRule="auto"/>
        <w:ind w:left="-709"/>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тарифтік сметаны орындау туралы</w:t>
      </w:r>
    </w:p>
    <w:p w:rsidR="00844F91" w:rsidRDefault="00844F91" w:rsidP="00844F91">
      <w:pPr>
        <w:spacing w:after="0" w:line="240" w:lineRule="auto"/>
        <w:ind w:left="-709"/>
        <w:jc w:val="center"/>
        <w:rPr>
          <w:rFonts w:ascii="Times New Roman" w:eastAsia="Times New Roman" w:hAnsi="Times New Roman" w:cs="Times New Roman"/>
          <w:b/>
          <w:color w:val="FF0000"/>
          <w:sz w:val="28"/>
          <w:szCs w:val="28"/>
          <w:lang w:val="kk-KZ" w:eastAsia="ru-RU"/>
        </w:rPr>
      </w:pPr>
      <w:r>
        <w:rPr>
          <w:rFonts w:ascii="Times New Roman" w:eastAsia="Times New Roman" w:hAnsi="Times New Roman" w:cs="Times New Roman"/>
          <w:b/>
          <w:sz w:val="28"/>
          <w:szCs w:val="28"/>
          <w:lang w:val="kk-KZ" w:eastAsia="ru-RU"/>
        </w:rPr>
        <w:t>ЕСЕП</w:t>
      </w:r>
    </w:p>
    <w:p w:rsidR="00844F91" w:rsidRDefault="00844F91" w:rsidP="00844F91">
      <w:pPr>
        <w:spacing w:after="0" w:line="240" w:lineRule="auto"/>
        <w:ind w:left="-709"/>
        <w:jc w:val="both"/>
        <w:rPr>
          <w:rFonts w:ascii="Times New Roman" w:eastAsia="Times New Roman" w:hAnsi="Times New Roman" w:cs="Times New Roman"/>
          <w:color w:val="FF0000"/>
          <w:sz w:val="28"/>
          <w:szCs w:val="28"/>
          <w:lang w:val="kk-KZ" w:eastAsia="ru-RU"/>
        </w:rPr>
      </w:pPr>
    </w:p>
    <w:p w:rsidR="00844F91" w:rsidRDefault="00844F91" w:rsidP="00844F91">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Табиғи монополиялар субъектісі ретінде «Теплосервис-Ақсу» КМК-нің қызметі «Қазақстан Республикасы Ұлттық экономика министрлігі Табиғи монополияларды реттеу комитетінің Павлодар облысы бойынша  департаменті» РММ уәкілетті органыме</w:t>
      </w:r>
      <w:bookmarkStart w:id="0" w:name="_GoBack"/>
      <w:bookmarkEnd w:id="0"/>
      <w:r>
        <w:rPr>
          <w:rFonts w:ascii="Times New Roman" w:eastAsia="Times New Roman" w:hAnsi="Times New Roman" w:cs="Times New Roman"/>
          <w:sz w:val="28"/>
          <w:szCs w:val="28"/>
          <w:lang w:val="kk-KZ" w:eastAsia="ru-RU"/>
        </w:rPr>
        <w:t xml:space="preserve">н реттеледі. </w:t>
      </w:r>
    </w:p>
    <w:p w:rsidR="00844F91" w:rsidRDefault="00844F91" w:rsidP="00844F91">
      <w:pPr>
        <w:spacing w:after="0" w:line="240" w:lineRule="auto"/>
        <w:ind w:firstLine="708"/>
        <w:jc w:val="both"/>
        <w:rPr>
          <w:rFonts w:ascii="Times New Roman" w:eastAsia="Times New Roman" w:hAnsi="Times New Roman" w:cs="Times New Roman"/>
          <w:color w:val="FF0000"/>
          <w:sz w:val="28"/>
          <w:szCs w:val="28"/>
          <w:lang w:val="kk-KZ" w:eastAsia="ru-RU"/>
        </w:rPr>
      </w:pPr>
      <w:r>
        <w:rPr>
          <w:rFonts w:ascii="Times New Roman" w:eastAsia="Times New Roman" w:hAnsi="Times New Roman" w:cs="Times New Roman"/>
          <w:sz w:val="28"/>
          <w:szCs w:val="28"/>
          <w:lang w:val="kk-KZ" w:eastAsia="ru-RU"/>
        </w:rPr>
        <w:t>Кәсіпорын  Ақсу қаласының объектілерін және өндірістік үй-жайларын,  елді мекендерін жылумен жабдықтау қызметін көрсету саласында өндірістік-шаруашылық қызметті жүзеге асыратын шаруашылық жүргізу құқығындағы коммуналдық мемлекеттік кәсіпорны болып табылады</w:t>
      </w:r>
      <w:r>
        <w:rPr>
          <w:rFonts w:ascii="Times New Roman" w:eastAsia="Times New Roman" w:hAnsi="Times New Roman" w:cs="Times New Roman"/>
          <w:color w:val="FF0000"/>
          <w:sz w:val="28"/>
          <w:szCs w:val="28"/>
          <w:lang w:val="kk-KZ" w:eastAsia="ru-RU"/>
        </w:rPr>
        <w:t xml:space="preserve">. </w:t>
      </w:r>
    </w:p>
    <w:p w:rsidR="00844F91" w:rsidRDefault="00844F91" w:rsidP="00844F91">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Негізгі қызмет түрі - Ақсу қаласына жылу энергиясын беру мен тарату және Ақсу шағын аудандарын жылу энергиясымен жабдықтау.     </w:t>
      </w:r>
    </w:p>
    <w:p w:rsidR="00844F91" w:rsidRDefault="00844F91" w:rsidP="00844F91">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Кәсіпорынның өндірістік қуаты:</w:t>
      </w:r>
    </w:p>
    <w:p w:rsidR="00844F91" w:rsidRDefault="00844F91" w:rsidP="00844F91">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Желілердің жалпы ұзындығы – 99026 м, соның ішінде Ақсу қаласы бойынша – 89945 м, оның ішінде магистральды -16560 м, тарату – 82466 м.</w:t>
      </w:r>
    </w:p>
    <w:p w:rsidR="00844F91" w:rsidRDefault="00844F91" w:rsidP="00844F91">
      <w:pPr>
        <w:pStyle w:val="HTML"/>
        <w:rPr>
          <w:rFonts w:ascii="Times New Roman" w:hAnsi="Times New Roman" w:cs="Times New Roman"/>
          <w:sz w:val="28"/>
          <w:szCs w:val="28"/>
          <w:lang w:val="kk-KZ"/>
        </w:rPr>
      </w:pPr>
      <w:r>
        <w:rPr>
          <w:rFonts w:ascii="Times New Roman" w:hAnsi="Times New Roman" w:cs="Times New Roman"/>
          <w:sz w:val="28"/>
          <w:szCs w:val="28"/>
          <w:lang w:val="kk-KZ"/>
        </w:rPr>
        <w:t>«Қазхром» ТҰК акционерлік қоғамы АФЗ филиалына тиесілі ОЖҚ-2 Ақсу қаласын жылумен қамту көзі болып табылады. Ақсу қаласы бойынша жылу желілерінің ұзындығы 2024 жылғы  01 қаңтарға 89945 м құрайды.</w:t>
      </w:r>
    </w:p>
    <w:p w:rsidR="00844F91" w:rsidRDefault="00844F91" w:rsidP="00844F91">
      <w:pPr>
        <w:pStyle w:val="HTML"/>
        <w:rPr>
          <w:rFonts w:ascii="Times New Roman" w:hAnsi="Times New Roman" w:cs="Times New Roman"/>
          <w:b/>
          <w:sz w:val="28"/>
          <w:szCs w:val="28"/>
          <w:lang w:val="kk-KZ"/>
        </w:rPr>
      </w:pPr>
      <w:r>
        <w:rPr>
          <w:rFonts w:ascii="Times New Roman" w:hAnsi="Times New Roman" w:cs="Times New Roman"/>
          <w:sz w:val="28"/>
          <w:szCs w:val="28"/>
          <w:lang w:val="kk-KZ"/>
        </w:rPr>
        <w:tab/>
      </w:r>
      <w:r>
        <w:rPr>
          <w:rFonts w:ascii="Times New Roman" w:hAnsi="Times New Roman" w:cs="Times New Roman"/>
          <w:b/>
          <w:sz w:val="28"/>
          <w:szCs w:val="28"/>
          <w:lang w:val="kk-KZ"/>
        </w:rPr>
        <w:t>Реттелетін қызметтерді көрсету көлемі:</w:t>
      </w:r>
    </w:p>
    <w:p w:rsidR="00844F91" w:rsidRDefault="00844F91" w:rsidP="00844F91">
      <w:pPr>
        <w:spacing w:after="0" w:line="240" w:lineRule="auto"/>
        <w:ind w:left="23" w:right="301" w:firstLine="69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2024 жылғы 1 қаңтардан бастап 2024 жылғы 30 маусымға дейін нақты көлем 245950 мың Гкал, жылу энергиясын беру және тарату бойынша қызметтердің көлемі – 235785 мың Гкал, жылу энергиясымен жабдықтау бойынша – 10075 мың Гкал құрады.</w:t>
      </w:r>
    </w:p>
    <w:p w:rsidR="00844F91" w:rsidRDefault="00844F91" w:rsidP="0084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ab/>
        <w:t>2024 жылдың 1-жартыжылдығы ішіндегі кәсіпорын қызметінің қаржылық-экономикалық көрсеткіштері:</w:t>
      </w:r>
    </w:p>
    <w:p w:rsidR="00844F91" w:rsidRDefault="00844F91" w:rsidP="0084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2024 жылғы 1 қаңтардан бастап бекітілген тарифтер:</w:t>
      </w:r>
    </w:p>
    <w:p w:rsidR="00844F91" w:rsidRDefault="00844F91" w:rsidP="00844F91">
      <w:pPr>
        <w:spacing w:after="0" w:line="240" w:lineRule="auto"/>
        <w:ind w:right="-1"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Қазақстан Республикасы Ұлттық экономика Министрлігінің табиғи монополияларды реттеу  комитетінің Павлодар облысы бойынша департаментінің 2023 жылғы 23 маусымдағы №52-ОД бұйрығымен жылу энергиясын беру және тарату бойынша жаңа тариф және тарифтік смета  бекітілді. Осы бұйрықтың негізінде 2023 жылғы 01 қазаннан бастап 2024 жылғы 30 қыркүйекке дейінгі кезеңге тариф 1589,89  теңге/Гкал құрады;</w:t>
      </w:r>
    </w:p>
    <w:p w:rsidR="00844F91" w:rsidRDefault="00844F91" w:rsidP="00844F91">
      <w:pPr>
        <w:spacing w:after="0" w:line="240" w:lineRule="auto"/>
        <w:ind w:right="-1"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Қазақстан Республикасы Ұлттық экономика Министрлігінің табиғи монополияларды реттеу  комитетінің Павлодар облысы бойынша департаментінің 2023 жылғы 23 маусымдағы №53-ОД бұйрығымен жылу энергиясын жабдықтау бойынша тариф және тарифтік смета  бекітілді. Осы бұйрықтың негізінде 2023 жылғы 01 қазаннан бастап 2024 жылғы 30 қыркүйекке дейінгі кезеңге тариф тұрғындар үшін 3707,18  теңге/Гкал, ал басқа тұтынушылар үшін 4867,10  теңге/Гкал.</w:t>
      </w:r>
    </w:p>
    <w:p w:rsidR="00844F91" w:rsidRDefault="00844F91" w:rsidP="00844F91">
      <w:pPr>
        <w:spacing w:after="0" w:line="240" w:lineRule="auto"/>
        <w:ind w:firstLine="426"/>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2024 жылдың 1 жартыжылдығы ішінде өндірістік қызмет нәтижесі бойынша жылу энергиясын беру және тарату, жылумен жабдықтау қызметтерін түскен табыс</w:t>
      </w:r>
    </w:p>
    <w:p w:rsidR="00844F91" w:rsidRDefault="00844F91" w:rsidP="00844F9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416534 мың теңге, соның ішінде жылу энергиясын беру және тарату қызметінен түскен табыс 374872 мың теңгені, жылумен жабдықтау қызметінен түскен табыс 41662 мың теңгені құрайды.</w:t>
      </w:r>
    </w:p>
    <w:p w:rsidR="00844F91" w:rsidRDefault="00844F91" w:rsidP="00844F91">
      <w:pPr>
        <w:spacing w:after="0" w:line="240" w:lineRule="auto"/>
        <w:ind w:firstLine="426"/>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Кәсіпорынның өндірістік-шаруашылық қызметімен байланысты шығындар 471256 мың теңге, оның ішінде жылу энергиясын беру және тарату бойынша қызметтерін көрсету - 419640 мың теңге, ал  жылумен жабдықтау қызметіне – 51616 мың теңгені құрайды.</w:t>
      </w:r>
    </w:p>
    <w:p w:rsidR="00844F91" w:rsidRDefault="00844F91" w:rsidP="00844F91">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Негізгі қызмет нәтижесінде 2023 жылдың 1-жартыжылдығы ішіндегі </w:t>
      </w:r>
      <w:r>
        <w:rPr>
          <w:rFonts w:ascii="Times New Roman" w:eastAsia="Times New Roman" w:hAnsi="Times New Roman" w:cs="Times New Roman"/>
          <w:b/>
          <w:sz w:val="28"/>
          <w:szCs w:val="28"/>
          <w:lang w:val="kk-KZ" w:eastAsia="ru-RU"/>
        </w:rPr>
        <w:t>54722 мың  теңге  мөлшерінде</w:t>
      </w:r>
      <w:r>
        <w:rPr>
          <w:rFonts w:ascii="Times New Roman" w:eastAsia="Times New Roman" w:hAnsi="Times New Roman" w:cs="Times New Roman"/>
          <w:sz w:val="28"/>
          <w:szCs w:val="28"/>
          <w:lang w:val="kk-KZ" w:eastAsia="ru-RU"/>
        </w:rPr>
        <w:t xml:space="preserve"> залал келтірілді. </w:t>
      </w:r>
    </w:p>
    <w:p w:rsidR="00844F91" w:rsidRDefault="00844F91" w:rsidP="00844F91">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2024 жылғы 01 қаңтардағы жағдай бойынша салықтар мен төлемдер бойынша бюджет алдында берешек жоқ.</w:t>
      </w:r>
    </w:p>
    <w:p w:rsidR="00844F91" w:rsidRDefault="00844F91" w:rsidP="00844F91">
      <w:pPr>
        <w:spacing w:after="0" w:line="240" w:lineRule="auto"/>
        <w:ind w:left="23" w:right="301" w:firstLine="697"/>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 xml:space="preserve">     Кәсіпорынның қалыпты қызмет етуі үшін, оның ішінде қаланың жылу-желілік шаруашылығын техникалық жарамды жай-күйде ұстау, үздіксіз жылу беруді қамтамасыз ету, төтенше немесе күтпеген жағдайлар пайда болған кезде үнемі дайын болу және жою, өндірістік активтердің тозуын төмендету, техникалық ысыраптарды азайту, сондай-ақ кәсіпорынның қызметінің тиімділігін арттыруға жылу энергиясымен жабдықтау және жылу энергиясын беру мен тарату бойынша қызметтерге экономикалық негізделген тарифтер қажет.</w:t>
      </w:r>
      <w:r>
        <w:rPr>
          <w:rFonts w:ascii="Times New Roman" w:eastAsia="Times New Roman" w:hAnsi="Times New Roman" w:cs="Times New Roman"/>
          <w:sz w:val="28"/>
          <w:szCs w:val="28"/>
          <w:lang w:val="kk-KZ" w:eastAsia="ru-RU"/>
        </w:rPr>
        <w:br/>
      </w:r>
      <w:r>
        <w:rPr>
          <w:rFonts w:ascii="Times New Roman" w:hAnsi="Times New Roman" w:cs="Times New Roman"/>
          <w:sz w:val="28"/>
          <w:szCs w:val="28"/>
          <w:lang w:val="kk-KZ"/>
        </w:rPr>
        <w:tab/>
        <w:t>Қазіргі уақытта бекітілген тарифтің нақты шығындарға сәйкес келмеуі байқалады. Тариф 2021 жылы 5 жылға бекітілген. Осы кезеңде тарифтік сметаның шығындарына енгізілген тауарлар мен қызметтердің өзіндік құнының айтарлықтай өсуі байқалды. Бағаның өсуін алдын ала болжау мүмкін емес, олардың қашан және қаншаға өсетіні белгісіз, бұл біздің жұмысымызды жоспарлауға қиындықтар туғызады. Тауарлар мен қызметтер бағасының орташа есеппен 60%-ға үнемі өсуінің тұрақты қарқыны бар екенін ғана айта аламыз. Негізгі шығындарға электр энергиясы, ЖЖМ, шикізат, қосалқы материалдар, үшінші тұлғалардың қызметтері жатады (</w:t>
      </w:r>
      <w:r>
        <w:rPr>
          <w:rStyle w:val="y2iqfc"/>
          <w:rFonts w:ascii="Times New Roman" w:hAnsi="Times New Roman" w:cs="Times New Roman"/>
          <w:sz w:val="28"/>
          <w:szCs w:val="28"/>
          <w:lang w:val="kk-KZ"/>
        </w:rPr>
        <w:t>арнайы жабдықтың одан әрі жұмыс істеуге жарамдылығын диагностикалау, гидравликалық және температуралық сынақтарды жүргізу).</w:t>
      </w:r>
    </w:p>
    <w:p w:rsidR="00844F91" w:rsidRDefault="00844F91" w:rsidP="00844F91">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Құбыр өнімдері бағасының өсуі. 2024 жылға арналған мемлекеттік сатып алудың жылдық жоспарына сәйкес құбырларды орташа бағамен 417 мың теңге/тонна сатып алу жоспарлануда. Нақтырақ айтсақ, орташа баға тоннасына 598 мың теңгеден сатып алынды. Шығындар 43%-ға өсті.</w:t>
      </w:r>
    </w:p>
    <w:p w:rsidR="00844F91" w:rsidRDefault="00844F91" w:rsidP="0084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Кәсіпорынның техникалық паркінің жағдайы да көңіл көншітерлік емес. Кәсіпорынның балансындағы арнайы техника 36 жылдан астам пайдаланылғандықтан, өзінің қызмет ету мерзімін толығымен таусылған. Оның нөлдік қалдық құны бар және ауыстыруды қажет етеді. Автокөліктерді жұмыс жағдайында ұстау үшін тұрақты жөндеу қажет. Шектеулі күйге жеткен мұндай көліктің жұмыс істеуі қосалқы бөлшектердің, жанар-жағар майдың және басқа да жанар-жағармайдың құнының өсуіне байланысты.</w:t>
      </w:r>
    </w:p>
    <w:p w:rsidR="00844F91" w:rsidRDefault="00844F91" w:rsidP="00844F91">
      <w:pPr>
        <w:spacing w:after="0" w:line="240" w:lineRule="auto"/>
        <w:ind w:firstLine="708"/>
        <w:jc w:val="both"/>
        <w:rPr>
          <w:rFonts w:ascii="Times New Roman" w:eastAsia="Times New Roman" w:hAnsi="Times New Roman" w:cs="Times New Roman"/>
          <w:sz w:val="28"/>
          <w:szCs w:val="28"/>
          <w:lang w:val="kk-KZ" w:eastAsia="ru-RU"/>
        </w:rPr>
      </w:pPr>
    </w:p>
    <w:p w:rsidR="00844F91" w:rsidRDefault="00844F91" w:rsidP="00844F91">
      <w:pPr>
        <w:ind w:firstLine="70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«Тарифті инвестицияға айырбастау» жаңа мемлекеттік бағдарлама шеңберінде кәсіпорын үшін ұсынылған басты мәселе – салаға мүліктің </w:t>
      </w:r>
      <w:r>
        <w:rPr>
          <w:rFonts w:ascii="Times New Roman" w:hAnsi="Times New Roman" w:cs="Times New Roman"/>
          <w:sz w:val="28"/>
          <w:szCs w:val="28"/>
          <w:lang w:val="kk-KZ" w:eastAsia="ru-RU"/>
        </w:rPr>
        <w:lastRenderedPageBreak/>
        <w:t>меншік иелерінің есебінен инвестицияларды ұлғайту және табиғи монополиялар саласындағы қызметкерлердің жалақысының деңгейін көтеру, 2023 жылы  осы бағдарламаны тарифтік сметаны орындау үшін кәсіпорынның қызметкерлерінің жалақысы 30%-ға  көтерілді, ол кәсіпорын  шығысынығ өсуіне  әсер етті.</w:t>
      </w:r>
    </w:p>
    <w:p w:rsidR="00844F91" w:rsidRDefault="00844F91" w:rsidP="00844F91">
      <w:pPr>
        <w:spacing w:after="0" w:line="240" w:lineRule="auto"/>
        <w:ind w:firstLine="70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Сонымен қатар, «Теплосервис-Ақсу» КМК балансына жылсайын иесіз жылу құбырлары беріледі, олар қосымша жөндеу шығындарын талап етеді, сонымен қатар амортизациялық аударымдар мен мүлік салығы бойынша шығындарды тудырады.</w:t>
      </w:r>
    </w:p>
    <w:p w:rsidR="00844F91" w:rsidRDefault="00844F91" w:rsidP="00844F91">
      <w:pPr>
        <w:spacing w:after="0" w:line="240" w:lineRule="auto"/>
        <w:ind w:firstLine="70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Маусымдылық фактісі келеңсіз әсер етеді. Жылумен жабдықтау ұйымына жазғы кезең залал келтіретін маусым болып табылады, өйткені осы кезеңде жазғы жөндеу науқанында  күрделі және ағымдағы жөндеу өткізу үшін отын мен материалдарды сатып алуға шығыстар артқан кезде кіріс одан әрі көбейеді.</w:t>
      </w:r>
    </w:p>
    <w:p w:rsidR="00844F91" w:rsidRDefault="00844F91" w:rsidP="00844F91">
      <w:pPr>
        <w:spacing w:after="0" w:line="240" w:lineRule="auto"/>
        <w:ind w:firstLine="70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Жоғарыда аталған фактілерді есепке ала отырып, кәсіпорынның  шығыстары оның кірісінен асып тұр және оның бәрін қосқанда есеп беру кезеңінде кәсіпорынның қаржы-шаруашылық қызметінің теріс әсер етеді.</w:t>
      </w:r>
    </w:p>
    <w:p w:rsidR="00844F91" w:rsidRDefault="00844F91" w:rsidP="00844F91">
      <w:pPr>
        <w:spacing w:after="0" w:line="240" w:lineRule="auto"/>
        <w:ind w:firstLine="70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Барлығы 2024 жылғы 1-жартыжылдығында сметалық құны 42853,361 мың теңге ұзындығы 1225,5 м, ал 2-жартыжылдыққа  сметалық құны 26864,2 мың теңге ұзындығы 1149 м 2024-2025 жылғы жылу беру маусымына дайындау жөніндегі іс-шаралар жоспарланды, ол 100 % жоспарланған жұмыстардың жалпы көлемін құрайды.</w:t>
      </w:r>
    </w:p>
    <w:p w:rsidR="00844F91" w:rsidRDefault="00844F91" w:rsidP="00844F91">
      <w:pPr>
        <w:spacing w:after="0" w:line="240" w:lineRule="auto"/>
        <w:ind w:firstLine="70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Коммуналдық желілердің және қолданыстағы активтердің тозуын кезең-кезеңмен төмендету мақсатында «Теплосервис-Ақсу» КМК кәсіпорнының бекітілген 2023-2024 жылдардың инвестициялық бағдарламасына қосымша іс-шаралар енгізілді.</w:t>
      </w:r>
    </w:p>
    <w:p w:rsidR="00844F91" w:rsidRDefault="00844F91" w:rsidP="00844F91">
      <w:pPr>
        <w:spacing w:after="0" w:line="264" w:lineRule="auto"/>
        <w:ind w:left="-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 ДУ 150мм-224м жылумен жабдықтау желісінің және ТК782-ден Ақсу қ.4-шағын ауданы № 2 орта мектебіне дейін – 448 метр ДУ 100мм-112м, ДУ 50мм -112м күрделі жөндеуі, ол тұтынушыларды үздіксіз жылумен жабдықтау, жылу желілерінің гидравликалық режімін қамтамасыз ету және жылудың шығынын төмендету үшін қажет.</w:t>
      </w:r>
    </w:p>
    <w:p w:rsidR="00844F91" w:rsidRDefault="00844F91" w:rsidP="00844F91">
      <w:pPr>
        <w:spacing w:after="0" w:line="264" w:lineRule="auto"/>
        <w:ind w:left="-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Жаңа іс-шараларды қоса алғанда жоғарыда аталған жылу трассасын жөндеудің сметалық құны ҚҚС-ты қоспағанда </w:t>
      </w:r>
      <w:r>
        <w:rPr>
          <w:rFonts w:ascii="Times New Roman" w:eastAsia="Times New Roman" w:hAnsi="Times New Roman" w:cs="Times New Roman"/>
          <w:b/>
          <w:sz w:val="28"/>
          <w:szCs w:val="28"/>
          <w:lang w:val="kk-KZ" w:eastAsia="ru-RU"/>
        </w:rPr>
        <w:t>33127,045</w:t>
      </w:r>
      <w:r>
        <w:rPr>
          <w:rFonts w:ascii="Times New Roman" w:eastAsia="Times New Roman" w:hAnsi="Times New Roman" w:cs="Times New Roman"/>
          <w:sz w:val="28"/>
          <w:szCs w:val="28"/>
          <w:lang w:val="kk-KZ" w:eastAsia="ru-RU"/>
        </w:rPr>
        <w:t xml:space="preserve"> мың теңгені құрады.</w:t>
      </w:r>
    </w:p>
    <w:p w:rsidR="00844F91" w:rsidRDefault="00844F91" w:rsidP="00844F91">
      <w:pPr>
        <w:spacing w:after="0" w:line="264" w:lineRule="auto"/>
        <w:ind w:left="-709"/>
        <w:jc w:val="both"/>
        <w:rPr>
          <w:rFonts w:ascii="Times New Roman" w:eastAsia="Calibri"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Қазіргі уақытта бекітілген инвестициялық бағдарлама және халықтың тарифтік қаражаты шеңберінде 2023 жылғы 1 қазаннан 2024 жылғы 30 қыркүйекке дейінгі кезеңге, жалпы кұны 5151,111 мың теңге, ұзындығы 499 м жылу желісіне жөндеу жасалды.</w:t>
      </w:r>
      <w:r>
        <w:rPr>
          <w:rFonts w:ascii="Calibri" w:eastAsia="Calibri" w:hAnsi="Calibri" w:cs="Times New Roman"/>
          <w:sz w:val="24"/>
          <w:szCs w:val="24"/>
          <w:lang w:val="kk-KZ" w:eastAsia="ru-RU"/>
        </w:rPr>
        <w:t xml:space="preserve">  </w:t>
      </w:r>
    </w:p>
    <w:p w:rsidR="00844F91" w:rsidRDefault="00844F91" w:rsidP="00844F91">
      <w:pPr>
        <w:spacing w:after="0" w:line="264" w:lineRule="auto"/>
        <w:ind w:left="-709" w:firstLine="708"/>
        <w:jc w:val="both"/>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1. ЖК212-ден ЖК 213 (1а ш.а), ұзындығы 49м күрделі жөндеу</w:t>
      </w:r>
    </w:p>
    <w:p w:rsidR="00844F91" w:rsidRDefault="00844F91" w:rsidP="00844F91">
      <w:pPr>
        <w:spacing w:after="0" w:line="264" w:lineRule="auto"/>
        <w:ind w:left="-709" w:firstLine="709"/>
        <w:jc w:val="both"/>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2. Ақсу шағын ауданы Өнеркәсіп ауданы жылу трассасын жөндеу (изоляцияны ауыстыру);</w:t>
      </w:r>
    </w:p>
    <w:p w:rsidR="00844F91" w:rsidRDefault="00844F91" w:rsidP="00844F91">
      <w:pPr>
        <w:spacing w:after="0" w:line="264" w:lineRule="auto"/>
        <w:ind w:left="-709" w:firstLine="709"/>
        <w:jc w:val="both"/>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Бекітілген бағдарламаның қаржыландыру көзі амортизациялық түсімдер және көрсетілетін қызметтердің тарифінің құрамындағы пайда болып анықталды.</w:t>
      </w:r>
    </w:p>
    <w:p w:rsidR="00844F91" w:rsidRDefault="00844F91" w:rsidP="00844F91">
      <w:pPr>
        <w:spacing w:after="0" w:line="264" w:lineRule="auto"/>
        <w:ind w:firstLine="708"/>
        <w:jc w:val="both"/>
        <w:rPr>
          <w:rFonts w:ascii="Times New Roman" w:eastAsia="Times New Roman" w:hAnsi="Times New Roman" w:cs="Times New Roman"/>
          <w:b/>
          <w:bCs/>
          <w:sz w:val="28"/>
          <w:szCs w:val="28"/>
          <w:lang w:val="kk-KZ" w:eastAsia="ru-RU"/>
        </w:rPr>
      </w:pPr>
    </w:p>
    <w:p w:rsidR="00844F91" w:rsidRDefault="00844F91" w:rsidP="00844F91">
      <w:pPr>
        <w:spacing w:after="0" w:line="264" w:lineRule="auto"/>
        <w:ind w:firstLine="708"/>
        <w:jc w:val="both"/>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Тұтынушылармен жүргізіліп жатқан жұмыс туралы:</w:t>
      </w:r>
    </w:p>
    <w:p w:rsidR="00844F91" w:rsidRDefault="00844F91" w:rsidP="00844F91">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Кәсіпорын реттелетін қызметтердің тұтынушыларымен тұрақты тығыз қарым-қатынаста болады. Қызметтерді көрсету фактісі бойынша салыстыру актісі жасалады және тұтынушылардың атына счет-фактуралар, орындалған жұмысы актісі беріледі, олар кәсіпорын өкілдерімен және қызметтің тұтынушыларымен қол қойылады. Сонымен қатар  тұтынушылармен заңнамаға сәйкес жұмыстар өткізіледі-тұтынушылар алдында қызметтерді ұсыну бойынша қоғамдық тындалым, сонымен қатар тарифтер мен тарифтік сметалардың шекті деңгейлерінің жобаларын қарау бойынша қоғамдық тындалым, қызмет көрсету жөніндегі қызмет туралы  ақпаратты өзінің интернет-ресурсында және бұқаралық ақпарат құралдарында орналастырады, тұтынушыға тарифтердің өзгеруі туралы хабарлайды.</w:t>
      </w:r>
    </w:p>
    <w:p w:rsidR="00844F91" w:rsidRDefault="00844F91" w:rsidP="00844F9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Тұтынушымен қарым-қатынаста этикалық және құқықтық нормалар сақталады және түсіндіру жұмыстары белсенді жүргізілуде.</w:t>
      </w:r>
    </w:p>
    <w:p w:rsidR="00844F91" w:rsidRDefault="00844F91" w:rsidP="00844F91">
      <w:pPr>
        <w:spacing w:after="0" w:line="240" w:lineRule="auto"/>
        <w:ind w:left="426"/>
        <w:contextualSpacing/>
        <w:jc w:val="both"/>
        <w:rPr>
          <w:rFonts w:ascii="Times New Roman" w:eastAsia="Calibri" w:hAnsi="Times New Roman" w:cs="Times New Roman"/>
          <w:sz w:val="28"/>
          <w:szCs w:val="28"/>
          <w:lang w:val="kk-KZ"/>
        </w:rPr>
      </w:pPr>
    </w:p>
    <w:p w:rsidR="00844F91" w:rsidRDefault="00844F91" w:rsidP="00844F91">
      <w:pPr>
        <w:ind w:firstLine="708"/>
        <w:rPr>
          <w:rFonts w:ascii="Times New Roman" w:hAnsi="Times New Roman" w:cs="Times New Roman"/>
          <w:sz w:val="28"/>
          <w:szCs w:val="28"/>
          <w:lang w:val="kk-KZ" w:eastAsia="ru-RU"/>
        </w:rPr>
      </w:pPr>
    </w:p>
    <w:p w:rsidR="00844F91" w:rsidRDefault="00844F91" w:rsidP="00844F91">
      <w:pPr>
        <w:spacing w:after="0" w:line="240" w:lineRule="auto"/>
        <w:ind w:firstLine="708"/>
        <w:jc w:val="both"/>
        <w:rPr>
          <w:rFonts w:ascii="Times New Roman" w:hAnsi="Times New Roman" w:cs="Times New Roman"/>
          <w:sz w:val="28"/>
          <w:szCs w:val="28"/>
          <w:lang w:val="kk-KZ"/>
        </w:rPr>
      </w:pPr>
    </w:p>
    <w:p w:rsidR="00844F91" w:rsidRDefault="00844F91" w:rsidP="00844F91">
      <w:pPr>
        <w:spacing w:after="0" w:line="240" w:lineRule="auto"/>
        <w:ind w:firstLine="708"/>
        <w:rPr>
          <w:rFonts w:ascii="Times New Roman" w:hAnsi="Times New Roman" w:cs="Times New Roman"/>
          <w:sz w:val="28"/>
          <w:szCs w:val="28"/>
          <w:lang w:val="kk-KZ"/>
        </w:rPr>
      </w:pPr>
    </w:p>
    <w:p w:rsidR="00844F91" w:rsidRDefault="00844F91" w:rsidP="00844F91">
      <w:pPr>
        <w:spacing w:after="0" w:line="240" w:lineRule="auto"/>
        <w:ind w:firstLine="708"/>
        <w:rPr>
          <w:rFonts w:ascii="Times New Roman" w:hAnsi="Times New Roman" w:cs="Times New Roman"/>
          <w:sz w:val="28"/>
          <w:szCs w:val="28"/>
          <w:lang w:val="kk-KZ"/>
        </w:rPr>
      </w:pPr>
    </w:p>
    <w:p w:rsidR="00F71AD1" w:rsidRPr="00844F91" w:rsidRDefault="00844F91">
      <w:pPr>
        <w:rPr>
          <w:lang w:val="kk-KZ"/>
        </w:rPr>
      </w:pPr>
    </w:p>
    <w:sectPr w:rsidR="00F71AD1" w:rsidRPr="00844F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EAA"/>
    <w:rsid w:val="00332EAA"/>
    <w:rsid w:val="005144DE"/>
    <w:rsid w:val="00844F91"/>
    <w:rsid w:val="00D33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42C94"/>
  <w15:chartTrackingRefBased/>
  <w15:docId w15:val="{36C3F93E-EC93-4ACF-B6CA-31EBD72E4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F9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84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44F91"/>
    <w:rPr>
      <w:rFonts w:ascii="Courier New" w:eastAsia="Times New Roman" w:hAnsi="Courier New" w:cs="Courier New"/>
      <w:sz w:val="20"/>
      <w:szCs w:val="20"/>
      <w:lang w:eastAsia="ru-RU"/>
    </w:rPr>
  </w:style>
  <w:style w:type="character" w:customStyle="1" w:styleId="y2iqfc">
    <w:name w:val="y2iqfc"/>
    <w:basedOn w:val="a0"/>
    <w:rsid w:val="00844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61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1289</Words>
  <Characters>7353</Characters>
  <Application>Microsoft Office Word</Application>
  <DocSecurity>0</DocSecurity>
  <Lines>61</Lines>
  <Paragraphs>17</Paragraphs>
  <ScaleCrop>false</ScaleCrop>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2024-07-25T08:05:00Z</dcterms:created>
  <dcterms:modified xsi:type="dcterms:W3CDTF">2024-07-25T08:07:00Z</dcterms:modified>
</cp:coreProperties>
</file>